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3" w:rsidRDefault="004E20CE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CIRCULACION VIRAL SEMANA 4</w:t>
      </w:r>
      <w:r w:rsidR="00C26F8D">
        <w:rPr>
          <w:rFonts w:ascii="Arial" w:hAnsi="Arial" w:cs="Arial"/>
          <w:sz w:val="28"/>
          <w:szCs w:val="28"/>
        </w:rPr>
        <w:t>(21al 27 de Enero 2018)</w:t>
      </w:r>
      <w:bookmarkStart w:id="0" w:name="_GoBack"/>
      <w:bookmarkEnd w:id="0"/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detectados de Virus Respiratorios por agente y porcentaje de positividad del total de las muestras analizadas, según semana epidemiológica. Chile 2015-2018. </w:t>
      </w: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852160" cy="3542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705FD9" w:rsidRPr="00217214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la semana 4 se analizaron</w:t>
      </w:r>
      <w:r w:rsidR="00217214">
        <w:rPr>
          <w:rFonts w:ascii="Arial" w:hAnsi="Arial" w:cs="Arial"/>
          <w:lang w:val="es-ES"/>
        </w:rPr>
        <w:t xml:space="preserve"> 323 muestras para virus respiratorios, obteniéndose una positividad del 13,9%,superior a la semana 3(10,6%).                De los 45 casos positivos, el virus predominante es </w:t>
      </w:r>
      <w:proofErr w:type="spellStart"/>
      <w:r w:rsidR="00217214">
        <w:rPr>
          <w:rFonts w:ascii="Arial" w:hAnsi="Arial" w:cs="Arial"/>
          <w:lang w:val="es-ES"/>
        </w:rPr>
        <w:t>Parainfluenza</w:t>
      </w:r>
      <w:proofErr w:type="spellEnd"/>
      <w:r w:rsidR="00217214">
        <w:rPr>
          <w:rFonts w:ascii="Arial" w:hAnsi="Arial" w:cs="Arial"/>
          <w:lang w:val="es-ES"/>
        </w:rPr>
        <w:t xml:space="preserve"> con 44,4% y afecta principalmente al &lt; 1 año y de 1-4 años. Le siguen en frecuencia el Adenovirus con 28,9%, VRS (15,6%),Influenza A (6,7%) e </w:t>
      </w:r>
      <w:proofErr w:type="spellStart"/>
      <w:r w:rsidR="00217214">
        <w:rPr>
          <w:rFonts w:ascii="Arial" w:hAnsi="Arial" w:cs="Arial"/>
          <w:lang w:val="es-ES"/>
        </w:rPr>
        <w:t>Infuenza</w:t>
      </w:r>
      <w:proofErr w:type="spellEnd"/>
      <w:r w:rsidR="00217214">
        <w:rPr>
          <w:rFonts w:ascii="Arial" w:hAnsi="Arial" w:cs="Arial"/>
          <w:lang w:val="es-ES"/>
        </w:rPr>
        <w:t xml:space="preserve"> B(4,4%).</w:t>
      </w:r>
      <w:r w:rsidR="00705FD9">
        <w:rPr>
          <w:rFonts w:ascii="Arial" w:hAnsi="Arial" w:cs="Arial"/>
          <w:lang w:val="es-ES"/>
        </w:rPr>
        <w:t xml:space="preserve">         En el sector público predomina </w:t>
      </w:r>
      <w:proofErr w:type="spellStart"/>
      <w:r w:rsidR="00705FD9">
        <w:rPr>
          <w:rFonts w:ascii="Arial" w:hAnsi="Arial" w:cs="Arial"/>
          <w:lang w:val="es-ES"/>
        </w:rPr>
        <w:t>Parainfluenza</w:t>
      </w:r>
      <w:proofErr w:type="spellEnd"/>
      <w:r w:rsidR="00705FD9">
        <w:rPr>
          <w:rFonts w:ascii="Arial" w:hAnsi="Arial" w:cs="Arial"/>
          <w:lang w:val="es-ES"/>
        </w:rPr>
        <w:t xml:space="preserve"> en hospitalizados y en ambulatorios se detecta 1 caso de Influenza A.                                                                                  En el sector privado destaca VRS, Adenovirus y </w:t>
      </w:r>
      <w:proofErr w:type="spellStart"/>
      <w:r w:rsidR="00705FD9">
        <w:rPr>
          <w:rFonts w:ascii="Arial" w:hAnsi="Arial" w:cs="Arial"/>
          <w:lang w:val="es-ES"/>
        </w:rPr>
        <w:t>Parainfluenza</w:t>
      </w:r>
      <w:proofErr w:type="spellEnd"/>
      <w:r w:rsidR="00705FD9">
        <w:rPr>
          <w:rFonts w:ascii="Arial" w:hAnsi="Arial" w:cs="Arial"/>
          <w:lang w:val="es-ES"/>
        </w:rPr>
        <w:t xml:space="preserve"> en igual porcentaje en hospitalizados y en ambulatorios se detecta Adenovirus principalmente.</w:t>
      </w: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positivos de virus respiratorios por año.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20"/>
      </w:tblGrid>
      <w:tr w:rsidR="00E93DCE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Año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SE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Casos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VRS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Ad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Para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 A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 B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Meta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1-4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199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67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2017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7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1-4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153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15174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7342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1904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2787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822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1386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1-4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136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14385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7160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1030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1497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2844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871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983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blPrEx>
          <w:tblBorders>
            <w:top w:val="none" w:sz="0" w:space="0" w:color="auto"/>
          </w:tblBorders>
        </w:tblPrEx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1-4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0 </w:t>
            </w:r>
          </w:p>
        </w:tc>
      </w:tr>
      <w:tr w:rsidR="00E93DCE"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12263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6781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792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1534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1684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557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915 </w:t>
            </w:r>
          </w:p>
        </w:tc>
      </w:tr>
    </w:tbl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Pr="00705FD9" w:rsidRDefault="00705FD9">
      <w:pPr>
        <w:rPr>
          <w:rFonts w:ascii="Arial" w:hAnsi="Arial" w:cs="Arial"/>
        </w:rPr>
      </w:pPr>
      <w:r w:rsidRPr="00705FD9">
        <w:rPr>
          <w:rFonts w:ascii="Arial" w:hAnsi="Arial" w:cs="Arial"/>
        </w:rPr>
        <w:t xml:space="preserve">En la semana 4 hay aumento de circulación de virus </w:t>
      </w:r>
      <w:proofErr w:type="spellStart"/>
      <w:r w:rsidRPr="00705FD9">
        <w:rPr>
          <w:rFonts w:ascii="Arial" w:hAnsi="Arial" w:cs="Arial"/>
        </w:rPr>
        <w:t>Parainfluenza</w:t>
      </w:r>
      <w:proofErr w:type="spellEnd"/>
      <w:r w:rsidRPr="00705FD9">
        <w:rPr>
          <w:rFonts w:ascii="Arial" w:hAnsi="Arial" w:cs="Arial"/>
        </w:rPr>
        <w:t>,</w:t>
      </w:r>
      <w:r w:rsidR="000971B7">
        <w:rPr>
          <w:rFonts w:ascii="Arial" w:hAnsi="Arial" w:cs="Arial"/>
        </w:rPr>
        <w:t xml:space="preserve"> </w:t>
      </w:r>
      <w:r w:rsidRPr="00705FD9">
        <w:rPr>
          <w:rFonts w:ascii="Arial" w:hAnsi="Arial" w:cs="Arial"/>
        </w:rPr>
        <w:t>VRS e Influenza A.</w:t>
      </w:r>
    </w:p>
    <w:p w:rsidR="00E93DCE" w:rsidRPr="00705FD9" w:rsidRDefault="00E93DCE">
      <w:pPr>
        <w:rPr>
          <w:rFonts w:ascii="Arial" w:hAnsi="Arial" w:cs="Arial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Hospitales centinelas de la Red de Vigilancia de Virus Respiratorios del ISP con casos confirmados según agente en la semana epidemiológica N° 4. </w:t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 Sin Datos. ** Muestra enviada desde Clínica Las Condes. 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44185" cy="47263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Pr="00FC69FA" w:rsidRDefault="00705FD9">
      <w:pPr>
        <w:rPr>
          <w:rFonts w:ascii="Arial" w:hAnsi="Arial" w:cs="Arial"/>
        </w:rPr>
      </w:pPr>
      <w:r w:rsidRPr="00FC69FA">
        <w:rPr>
          <w:rFonts w:ascii="Arial" w:hAnsi="Arial" w:cs="Arial"/>
        </w:rPr>
        <w:t>Se detectan casos de Influenza A en Punta Arenas, Talca y Región Metropolitana</w:t>
      </w:r>
    </w:p>
    <w:p w:rsidR="00E93DCE" w:rsidRPr="00FC69FA" w:rsidRDefault="00E93DCE">
      <w:pPr>
        <w:rPr>
          <w:rFonts w:ascii="Arial" w:hAnsi="Arial" w:cs="Arial"/>
        </w:rPr>
      </w:pPr>
    </w:p>
    <w:p w:rsidR="00E93DCE" w:rsidRPr="00FC69FA" w:rsidRDefault="00E93DCE">
      <w:pPr>
        <w:rPr>
          <w:rFonts w:ascii="Arial" w:hAnsi="Arial" w:cs="Arial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Casos confirmados según agente y grupo etario en la semana epidemiológica N° 4. </w:t>
      </w: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746115" cy="46393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6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E93DCE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&lt; 1 año destaca </w:t>
      </w:r>
      <w:proofErr w:type="spellStart"/>
      <w:r>
        <w:rPr>
          <w:rFonts w:ascii="Arial" w:hAnsi="Arial" w:cs="Arial"/>
          <w:sz w:val="28"/>
          <w:szCs w:val="28"/>
        </w:rPr>
        <w:t>Parainfluenza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C69FA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1-4 años predomina Adenovirus.</w:t>
      </w:r>
    </w:p>
    <w:p w:rsidR="00FC69FA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escolares de 5-14 años se detectan Adenovirus, </w:t>
      </w:r>
      <w:proofErr w:type="spellStart"/>
      <w:r>
        <w:rPr>
          <w:rFonts w:ascii="Arial" w:hAnsi="Arial" w:cs="Arial"/>
          <w:sz w:val="28"/>
          <w:szCs w:val="28"/>
        </w:rPr>
        <w:t>Parainfluenza</w:t>
      </w:r>
      <w:proofErr w:type="spellEnd"/>
      <w:r>
        <w:rPr>
          <w:rFonts w:ascii="Arial" w:hAnsi="Arial" w:cs="Arial"/>
          <w:sz w:val="28"/>
          <w:szCs w:val="28"/>
        </w:rPr>
        <w:t xml:space="preserve"> e Influenza B.</w:t>
      </w:r>
    </w:p>
    <w:p w:rsidR="00FC69FA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15-54 años predomina Influenza A.</w:t>
      </w:r>
    </w:p>
    <w:p w:rsidR="00FC69FA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adultos &gt;55 años se encuentra el virus Influenza A también .</w:t>
      </w:r>
    </w:p>
    <w:p w:rsidR="00FC69FA" w:rsidRDefault="00FC6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En&gt;65 años se detecta </w:t>
      </w:r>
      <w:proofErr w:type="spellStart"/>
      <w:r>
        <w:rPr>
          <w:rFonts w:ascii="Arial" w:hAnsi="Arial" w:cs="Arial"/>
          <w:sz w:val="28"/>
          <w:szCs w:val="28"/>
        </w:rPr>
        <w:t>Parainfluenza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Default="00E93DCE">
      <w:pPr>
        <w:rPr>
          <w:rFonts w:ascii="Arial" w:hAnsi="Arial" w:cs="Arial"/>
          <w:sz w:val="28"/>
          <w:szCs w:val="28"/>
        </w:rPr>
      </w:pPr>
    </w:p>
    <w:p w:rsidR="00E93DCE" w:rsidRP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 xml:space="preserve">VIRUS   INFLUENZA   </w:t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Influenza por tipos y subtipos por semana epidemiológica, Chile 2015-2018*. </w:t>
      </w: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34660" cy="9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746115" cy="30511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*Información hasta la SE N° 3. 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3F6CAF"/>
          <w:sz w:val="38"/>
          <w:szCs w:val="38"/>
          <w:lang w:val="es-ES"/>
        </w:rPr>
        <w:t>Elaborado por</w:t>
      </w:r>
      <w:r>
        <w:rPr>
          <w:rFonts w:ascii="Calibri" w:hAnsi="Calibri" w:cs="Calibri"/>
          <w:color w:val="3F6CAF"/>
          <w:sz w:val="38"/>
          <w:szCs w:val="38"/>
          <w:lang w:val="es-ES"/>
        </w:rPr>
        <w:t xml:space="preserve">: Instituto de Salud Pública de Chile. </w:t>
      </w: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3DCE" w:rsidRDefault="00E93DCE" w:rsidP="00E9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Número de casos detectados de Virus Respiratorios en pacientes de atención privada</w:t>
      </w:r>
      <w:r>
        <w:rPr>
          <w:rFonts w:ascii="Times" w:hAnsi="Times" w:cs="Times"/>
          <w:position w:val="5"/>
          <w:sz w:val="14"/>
          <w:szCs w:val="14"/>
          <w:lang w:val="es-ES"/>
        </w:rPr>
        <w:t>1</w:t>
      </w:r>
      <w:r>
        <w:rPr>
          <w:rFonts w:ascii="Arial" w:hAnsi="Arial" w:cs="Arial"/>
          <w:sz w:val="26"/>
          <w:szCs w:val="26"/>
          <w:lang w:val="es-ES"/>
        </w:rPr>
        <w:t xml:space="preserve">, en la semana epidemiológica N° 4. </w:t>
      </w:r>
    </w:p>
    <w:tbl>
      <w:tblPr>
        <w:tblW w:w="12489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2126"/>
        <w:gridCol w:w="850"/>
        <w:gridCol w:w="851"/>
        <w:gridCol w:w="850"/>
        <w:gridCol w:w="709"/>
        <w:gridCol w:w="709"/>
        <w:gridCol w:w="1656"/>
        <w:gridCol w:w="201"/>
      </w:tblGrid>
      <w:tr w:rsidR="00E93DCE" w:rsidTr="00E93DCE">
        <w:trPr>
          <w:gridAfter w:val="1"/>
          <w:wAfter w:w="201" w:type="dxa"/>
        </w:trPr>
        <w:tc>
          <w:tcPr>
            <w:tcW w:w="3119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Clínicas privadas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de casos </w:t>
            </w:r>
          </w:p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04832C2B" wp14:editId="37421915">
                  <wp:extent cx="19050" cy="952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No casos positivos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VRS 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Ad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Para 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Inf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A 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Inf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B </w:t>
            </w:r>
          </w:p>
        </w:tc>
        <w:tc>
          <w:tcPr>
            <w:tcW w:w="1656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Meta </w:t>
            </w:r>
          </w:p>
        </w:tc>
      </w:tr>
      <w:tr w:rsidR="00E93DCE" w:rsidTr="00E93DCE">
        <w:tblPrEx>
          <w:tblBorders>
            <w:top w:val="none" w:sz="0" w:space="0" w:color="auto"/>
          </w:tblBorders>
        </w:tblPrEx>
        <w:tc>
          <w:tcPr>
            <w:tcW w:w="12489" w:type="dxa"/>
            <w:gridSpan w:val="10"/>
            <w:tcBorders>
              <w:top w:val="single" w:sz="10" w:space="0" w:color="auto"/>
              <w:left w:val="single" w:sz="1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Pacientes hospitalizados </w:t>
            </w: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10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Las Condes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7 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85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65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Santa María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pacientes hospitalizados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</w:tr>
      <w:tr w:rsidR="00E93DCE" w:rsidTr="00E93DCE">
        <w:tblPrEx>
          <w:tblBorders>
            <w:top w:val="none" w:sz="0" w:space="0" w:color="auto"/>
          </w:tblBorders>
        </w:tblPrEx>
        <w:tc>
          <w:tcPr>
            <w:tcW w:w="12489" w:type="dxa"/>
            <w:gridSpan w:val="10"/>
            <w:tcBorders>
              <w:top w:val="single" w:sz="10" w:space="0" w:color="auto"/>
              <w:left w:val="single" w:sz="15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Pacientes ambulatorios </w:t>
            </w: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Las Condes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Santa María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E93DCE" w:rsidTr="00E93DCE">
        <w:tblPrEx>
          <w:tblBorders>
            <w:top w:val="none" w:sz="0" w:space="0" w:color="auto"/>
          </w:tblBorders>
        </w:tblPrEx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Laboratorio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Integramédica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E93DCE" w:rsidTr="00E93DCE">
        <w:trPr>
          <w:gridAfter w:val="1"/>
          <w:wAfter w:w="201" w:type="dxa"/>
        </w:trPr>
        <w:tc>
          <w:tcPr>
            <w:tcW w:w="3119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pacientes ambulatorios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3DCE" w:rsidRDefault="00E93D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</w:tr>
    </w:tbl>
    <w:p w:rsidR="00FC69FA" w:rsidRPr="00C26F8D" w:rsidRDefault="00E93DCE" w:rsidP="00FC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position w:val="5"/>
          <w:sz w:val="14"/>
          <w:szCs w:val="14"/>
          <w:lang w:val="es-ES"/>
        </w:rPr>
        <w:t xml:space="preserve">1 </w:t>
      </w:r>
      <w:r>
        <w:rPr>
          <w:rFonts w:ascii="Arial Narrow" w:hAnsi="Arial Narrow" w:cs="Arial Narrow"/>
          <w:sz w:val="22"/>
          <w:szCs w:val="22"/>
          <w:lang w:val="es-ES"/>
        </w:rPr>
        <w:t>Corresponden a pacientes en que se solicita la detección de virus respiratorios al ingreso de su hospitalización. 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</w:t>
      </w:r>
    </w:p>
    <w:p w:rsidR="00FC69FA" w:rsidRDefault="00FC69FA" w:rsidP="00FC69F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Adenovirus e Influenza A destacan en pacientes ambulatorios del sector privado.</w:t>
      </w:r>
    </w:p>
    <w:p w:rsidR="00FC69FA" w:rsidRDefault="00FC69FA" w:rsidP="00FC69F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RESUMEN:</w:t>
      </w:r>
    </w:p>
    <w:p w:rsidR="000971B7" w:rsidRPr="00FC69FA" w:rsidRDefault="00FC69FA" w:rsidP="00FC69F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DRA. MANUELA SOTO ACUÑA                                                                   </w:t>
      </w:r>
      <w:r w:rsidR="000971B7">
        <w:rPr>
          <w:rFonts w:ascii="Arial" w:hAnsi="Arial" w:cs="Arial"/>
          <w:sz w:val="28"/>
          <w:szCs w:val="28"/>
          <w:lang w:val="es-ES"/>
        </w:rPr>
        <w:t>(</w:t>
      </w:r>
      <w:r>
        <w:rPr>
          <w:rFonts w:ascii="Arial" w:hAnsi="Arial" w:cs="Arial"/>
          <w:sz w:val="28"/>
          <w:szCs w:val="28"/>
          <w:lang w:val="es-ES"/>
        </w:rPr>
        <w:t>SOCHEMP</w:t>
      </w:r>
      <w:r w:rsidR="000971B7">
        <w:rPr>
          <w:rFonts w:ascii="Arial" w:hAnsi="Arial" w:cs="Arial"/>
          <w:sz w:val="28"/>
          <w:szCs w:val="28"/>
          <w:lang w:val="es-ES"/>
        </w:rPr>
        <w:t>)                                                                                                    S.U.I. SAN BORJA ARRIARAN</w:t>
      </w:r>
    </w:p>
    <w:sectPr w:rsidR="000971B7" w:rsidRPr="00FC69FA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CE"/>
    <w:rsid w:val="000971B7"/>
    <w:rsid w:val="00217214"/>
    <w:rsid w:val="004E20CE"/>
    <w:rsid w:val="00705FD9"/>
    <w:rsid w:val="009C4813"/>
    <w:rsid w:val="00C03855"/>
    <w:rsid w:val="00C26F8D"/>
    <w:rsid w:val="00E93DCE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3622</Characters>
  <Application>Microsoft Macintosh Word</Application>
  <DocSecurity>0</DocSecurity>
  <Lines>30</Lines>
  <Paragraphs>8</Paragraphs>
  <ScaleCrop>false</ScaleCrop>
  <Company>Casa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Manuela Soto Acuña</cp:lastModifiedBy>
  <cp:revision>2</cp:revision>
  <dcterms:created xsi:type="dcterms:W3CDTF">2018-02-07T05:58:00Z</dcterms:created>
  <dcterms:modified xsi:type="dcterms:W3CDTF">2018-02-07T05:58:00Z</dcterms:modified>
</cp:coreProperties>
</file>